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rPr>
          <w:rFonts w:ascii="Arial" w:hAnsi="Arial" w:eastAsia="Arial" w:cs="Arial"/>
          <w:sz w:val="40"/>
          <w:szCs w:val="40"/>
          <w:b w:val="1"/>
          <w:color w:val="000000"/>
        </w:rPr>
        <w:pStyle w:val="Title"/>
      </w:pPr>
      <w:r>
        <w:rPr>
          <w:rFonts w:ascii="Arial" w:hAnsi="Arial" w:eastAsia="Arial" w:cs="Arial"/>
          <w:sz w:val="40"/>
          <w:szCs w:val="40"/>
          <w:b w:val="1"/>
          <w:color w:val="000000"/>
        </w:rPr>
        <w:t>Support Document SD-02 - Series Master Glossary</w:t>
      </w:r>
    </w:p>
    <w:p>
      <w:pPr>
        <w:rPr>
          <w:rFonts w:ascii="Arial" w:hAnsi="Arial" w:eastAsia="Arial" w:cs="Arial"/>
          <w:sz w:val="22"/>
          <w:szCs w:val="22"/>
        </w:rPr>
      </w:pPr>
      <w:r>
        <w:rPr>
          <w:b/>
          <w:rFonts w:ascii="Arial" w:hAnsi="Arial" w:eastAsia="Arial" w:cs="Arial"/>
          <w:sz w:val="22"/>
          <w:szCs w:val="22"/>
        </w:rPr>
        <w:t>Part 3 (Sections 3a–3c): The Epistemic Method | Consolidated controlled vocabulary | Source-locked | Issue 1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2419"/>
        <w:gridCol w:w="7661"/>
      </w:tblGrid>
      <w:tr>
        <w:trPr>
          <w:tblHeader/>
        </w:trPr>
        <w:tc>
          <w:tcPr>
            <w:tcW w:type="dxa" w:w="2419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Control field</w:t>
            </w:r>
          </w:p>
        </w:tc>
        <w:tc>
          <w:tcPr>
            <w:tcW w:type="dxa" w:w="7661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Value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Document ID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TEM-P3-3A3B3C-SD02-GLOSSARY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Version / issue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Issue 1 - aligned to the Issue 1 paper sequence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Date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2026-09-24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Status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Controlled Part 3 support document aligned to the eight Issue 1 canonical papers, GOT-V1-3a-1 through GOT-V1-3c-8. Secondary to the canonical papers.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Supersedes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Glossary - Issue 1 - Formatted.docx. This content reconciliation preserves the eight-paper sequence and updates source identities, ownership, locators, and support dependencies. Earlier release history remains recoverable in that source copy.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Function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Records controlled definitions, canonical homes, relation notes, and use guardrails across Section 3a, 3b, and 3c. No new concepts are introduced.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Canonical rule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Exact technical definitions remain in the owning canonical paper. This glossary compresses and cross-indexes; it does not redefine.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Internal split rule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Section 3a, Section 3b, and Section 3c remain distinct canonical regions inside one Part-level support control. Downstream papers may inherit and apply upstream architecture but do not retroactively redefine it.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Source-lock rule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Use only the eight current Part 3 papers for Part 3 vocabulary. Upstream Part 1/2 controls may define inherited terms but may not be expanded here.</w:t>
            </w:r>
          </w:p>
        </w:tc>
      </w:tr>
      <w:tr>
        <w:trPr>
          <w:cantSplit/>
        </w:trPr>
        <w:tc>
          <w:tcPr>
            <w:tcW w:type="dxa" w:w="2419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Template rule</w:t>
            </w:r>
          </w:p>
        </w:tc>
        <w:tc>
          <w:tcPr>
            <w:tcW w:type="dxa" w:w="766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Retain the established support-document layout and control schema. Earlier support copies retain historical evidence; the eight Issue 1 papers govern current content. Parts 1 and 2 remain inherited-control references only.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000000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000000"/>
        </w:rPr>
        <w:t>0. Status, function, and source discipline</w:t>
      </w:r>
    </w:p>
    <w:p>
      <w:pPr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A term is permitted only when its discriminator conditions remain visible. Terms naming closure, unknown, power, responsibility, trust, warrant, formalisation, governance, method-use, certification, compliance, or authority must not carry strength beyond the recoverable conditions in the owning paper.</w:t>
      </w:r>
    </w:p>
    <w:p>
      <w:pPr>
        <w:rPr>
          <w:rFonts w:ascii="Arial" w:hAnsi="Arial" w:eastAsia="Arial" w:cs="Arial"/>
          <w:sz w:val="24"/>
          <w:szCs w:val="24"/>
          <w:b w:val="1"/>
          <w:color w:val="000000"/>
        </w:rPr>
        <w:pStyle w:val="Heading2"/>
        <w:keepNext/>
        <w:keepLines/>
      </w:pPr>
      <w:r>
        <w:rPr>
          <w:rFonts w:ascii="Arial" w:hAnsi="Arial" w:eastAsia="Arial" w:cs="Arial"/>
          <w:sz w:val="24"/>
          <w:szCs w:val="24"/>
          <w:b w:val="1"/>
          <w:color w:val="000000"/>
        </w:rPr>
        <w:t>0.1 Canonical source-lock register</w:t>
      </w:r>
    </w:p>
    <w:p>
      <w:pPr>
        <w:spacing w:before="0" w:after="120"/>
        <w:rPr>
          <w:rFonts w:ascii="Arial" w:hAnsi="Arial" w:eastAsia="Arial" w:cs="Arial"/>
          <w:sz w:val="24"/>
          <w:szCs w:val="24"/>
          <w:b w:val="1"/>
          <w:color w:val="000000"/>
        </w:rPr>
        <w:keepNext/>
        <w:keepLines/>
      </w:pPr>
      <w:r>
        <w:rPr>
          <w:rFonts w:ascii="Arial" w:hAnsi="Arial" w:eastAsia="Arial" w:cs="Arial"/>
          <w:sz w:val="22"/>
          <w:szCs w:val="24"/>
          <w:b w:val="0"/>
          <w:color w:val="000000"/>
        </w:rPr>
        <w:t>Paper keys 3a-1 to 3c-8 abbreviate the full GOT-V1 identifiers below. Section locators refer to the numbered headings in the Issue 1 papers; endnote locators use their Arabic note numbers. SHA16 records the first 16 hexadecimal characters of SHA-256.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1411"/>
        <w:gridCol w:w="2923"/>
        <w:gridCol w:w="1915"/>
        <w:gridCol w:w="3830"/>
      </w:tblGrid>
      <w:tr>
        <w:trPr>
          <w:tblHeader/>
        </w:trPr>
        <w:tc>
          <w:tcPr>
            <w:tcW w:type="dxa" w:w="1411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Seq.</w:t>
            </w:r>
          </w:p>
        </w:tc>
        <w:tc>
          <w:tcPr>
            <w:tcW w:type="dxa" w:w="2923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Current canonical source</w:t>
            </w:r>
          </w:p>
        </w:tc>
        <w:tc>
          <w:tcPr>
            <w:tcW w:type="dxa" w:w="1915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Canonical paper</w:t>
            </w:r>
          </w:p>
        </w:tc>
        <w:tc>
          <w:tcPr>
            <w:tcW w:type="dxa" w:w="3830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Canonical ownership / use</w:t>
            </w:r>
          </w:p>
        </w:tc>
      </w:tr>
      <w:tr>
        <w:trPr>
          <w:cantSplit/>
        </w:trPr>
        <w:tc>
          <w:tcPr>
            <w:tcW w:type="dxa" w:w="141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GOT-V1-3a-1</w:t>
            </w:r>
          </w:p>
        </w:tc>
        <w:tc>
          <w:tcPr>
            <w:tcW w:type="dxa" w:w="292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GOT-V1-3a-1 - The Gödel Horizon - Issue 1.docx | sha16 44a8b20a68541a55</w:t>
            </w:r>
          </w:p>
        </w:tc>
        <w:tc>
          <w:tcPr>
            <w:tcW w:type="dxa" w:w="1915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Gödel Horizon</w:t>
            </w:r>
          </w:p>
        </w:tc>
        <w:tc>
          <w:tcPr>
            <w:tcW w:type="dxa" w:w="383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Horizon grammar: relational availability; availability/closure boundary conditions; Soft Horizon; Gödel Horizon; Procedural Availability Horizon; coupled loci; abstraction boundaries; comparator and stabilisation discipline.</w:t>
            </w:r>
          </w:p>
        </w:tc>
      </w:tr>
      <w:tr>
        <w:trPr>
          <w:cantSplit/>
        </w:trPr>
        <w:tc>
          <w:tcPr>
            <w:tcW w:type="dxa" w:w="141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GOT-V1-3a-2</w:t>
            </w:r>
          </w:p>
        </w:tc>
        <w:tc>
          <w:tcPr>
            <w:tcW w:type="dxa" w:w="292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GOT-V1-3a-2 - The Discipline of the Unknown - Issue 1.docx | sha16 04d3becc2b5a5029</w:t>
            </w:r>
          </w:p>
        </w:tc>
        <w:tc>
          <w:tcPr>
            <w:tcW w:type="dxa" w:w="1915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Discipline of the Unknown</w:t>
            </w:r>
          </w:p>
        </w:tc>
        <w:tc>
          <w:tcPr>
            <w:tcW w:type="dxa" w:w="383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Unknown-statuses; residual; positive exclusion; live formulations; Best Available Formulation; Weighted Residual; action threshold, safeguard, monitoring, stop condition, update, and branch-memory.</w:t>
            </w:r>
          </w:p>
        </w:tc>
      </w:tr>
      <w:tr>
        <w:trPr>
          <w:cantSplit/>
        </w:trPr>
        <w:tc>
          <w:tcPr>
            <w:tcW w:type="dxa" w:w="141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GOT-V1-3b-3</w:t>
            </w:r>
          </w:p>
        </w:tc>
        <w:tc>
          <w:tcPr>
            <w:tcW w:type="dxa" w:w="292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GOT-V1-3b-3 - On the Origin of Power - Issue 1.docx | sha16 d6d961fbb277a77c</w:t>
            </w:r>
          </w:p>
        </w:tc>
        <w:tc>
          <w:tcPr>
            <w:tcW w:type="dxa" w:w="1915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On the Origin of Power</w:t>
            </w:r>
          </w:p>
        </w:tc>
        <w:tc>
          <w:tcPr>
            <w:tcW w:type="dxa" w:w="383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Primitive Power as IPL-indexed distinction-conditioned branch potential; Counterfactual Inclusion Field; potential/application/consequence separation; Counterfactual Exclusion; thermodynamic grounding.</w:t>
            </w:r>
          </w:p>
        </w:tc>
      </w:tr>
      <w:tr>
        <w:trPr>
          <w:cantSplit/>
        </w:trPr>
        <w:tc>
          <w:tcPr>
            <w:tcW w:type="dxa" w:w="141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GOT-V1-3b-4</w:t>
            </w:r>
          </w:p>
        </w:tc>
        <w:tc>
          <w:tcPr>
            <w:tcW w:type="dxa" w:w="292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GOT-V1-3b-4 - On the Origin of Responsibility - Issue 1.docx | sha16 ef17be5480bc49e7</w:t>
            </w:r>
          </w:p>
        </w:tc>
        <w:tc>
          <w:tcPr>
            <w:tcW w:type="dxa" w:w="1915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On the Origin of Responsibility</w:t>
            </w:r>
          </w:p>
        </w:tc>
        <w:tc>
          <w:tcPr>
            <w:tcW w:type="dxa" w:w="383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Primitive Responsibility as locus-indexed attribution; Responsibility Provenance; distributed and temporal provenance; Responsibility Gradient; Immediate-Frame Principle; Responsibility Warrant.</w:t>
            </w:r>
          </w:p>
        </w:tc>
      </w:tr>
      <w:tr>
        <w:trPr>
          <w:cantSplit/>
        </w:trPr>
        <w:tc>
          <w:tcPr>
            <w:tcW w:type="dxa" w:w="141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GOT-V1-3b-5</w:t>
            </w:r>
          </w:p>
        </w:tc>
        <w:tc>
          <w:tcPr>
            <w:tcW w:type="dxa" w:w="292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GOT-V1-3b-5 - On the Origin of Trust - Issue 1.docx | sha16 d8a68ac35982e5a0</w:t>
            </w:r>
          </w:p>
        </w:tc>
        <w:tc>
          <w:tcPr>
            <w:tcW w:type="dxa" w:w="1915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On the Origin of Trust</w:t>
            </w:r>
          </w:p>
        </w:tc>
        <w:tc>
          <w:tcPr>
            <w:tcW w:type="dxa" w:w="383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Trust as reliance closure under residual; primitive audit; branch-space economy; trust thresholds; vicarious trust; Epistemic Authority and the minimum Structural Authority distinction (§8); trust carriers; laundering; betrayal, repair, and formalisation handoff.</w:t>
            </w:r>
          </w:p>
        </w:tc>
      </w:tr>
      <w:tr>
        <w:trPr>
          <w:cantSplit/>
        </w:trPr>
        <w:tc>
          <w:tcPr>
            <w:tcW w:type="dxa" w:w="141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GOT-V1-3c-6</w:t>
            </w:r>
          </w:p>
        </w:tc>
        <w:tc>
          <w:tcPr>
            <w:tcW w:type="dxa" w:w="292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GOT-V1-3c-6 - The Case for Formalisation - Issue 1.docx | sha16 b4d11bd226838155</w:t>
            </w:r>
          </w:p>
        </w:tc>
        <w:tc>
          <w:tcPr>
            <w:tcW w:type="dxa" w:w="1915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Case for Formalisation</w:t>
            </w:r>
          </w:p>
        </w:tc>
        <w:tc>
          <w:tcPr>
            <w:tcW w:type="dxa" w:w="383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Load-bearing language; recoverable authority; distinct epistemic grounding and structural authorisation (§1); epistemic debt; institutions and machines; formalisation as preservation; auditable claim packet; proportional formalisation; retrospective review.</w:t>
            </w:r>
          </w:p>
        </w:tc>
      </w:tr>
      <w:tr>
        <w:trPr>
          <w:cantSplit/>
        </w:trPr>
        <w:tc>
          <w:tcPr>
            <w:tcW w:type="dxa" w:w="141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GOT-V1-3c-7</w:t>
            </w:r>
          </w:p>
        </w:tc>
        <w:tc>
          <w:tcPr>
            <w:tcW w:type="dxa" w:w="292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GOT-V1-3c-7 - The Constitutional Governance of Formalisation - Issue 1.docx | sha16 a3540c539c730360</w:t>
            </w:r>
          </w:p>
        </w:tc>
        <w:tc>
          <w:tcPr>
            <w:tcW w:type="dxa" w:w="1915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Constitutional Governance of Formalisation</w:t>
            </w:r>
          </w:p>
        </w:tc>
        <w:tc>
          <w:tcPr>
            <w:tcW w:type="dxa" w:w="383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Governance of formalisation; constitutional/technical/application levels; application of Epistemic Authority inherited from 3b-5; custodial and operational applications of Structural Authority (§6); amendment, forks, certification, and capture controls.</w:t>
            </w:r>
          </w:p>
        </w:tc>
      </w:tr>
      <w:tr>
        <w:trPr>
          <w:cantSplit/>
        </w:trPr>
        <w:tc>
          <w:tcPr>
            <w:tcW w:type="dxa" w:w="1411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GOT-V1-3c-8</w:t>
            </w:r>
          </w:p>
        </w:tc>
        <w:tc>
          <w:tcPr>
            <w:tcW w:type="dxa" w:w="2923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GOT-V1-3c-8 - The Epistemic Method - Issue 1.docx | sha16 dc08048b02787be4</w:t>
            </w:r>
          </w:p>
        </w:tc>
        <w:tc>
          <w:tcPr>
            <w:tcW w:type="dxa" w:w="1915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Epistemic Method</w:t>
            </w:r>
          </w:p>
        </w:tc>
        <w:tc>
          <w:tcPr>
            <w:tcW w:type="dxa" w:w="383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Integrated relational audit of claim-strength and reliance-strength; indexed relation; claim and reliance paths; comparator, residual, reliance limit; preferential reliance and carrier-path preservation (§6); conditional Power/Responsibility audits; method-compliance is not closure.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24"/>
          <w:szCs w:val="24"/>
          <w:b w:val="1"/>
          <w:color w:val="000000"/>
        </w:rPr>
        <w:pStyle w:val="Heading2"/>
        <w:keepNext/>
        <w:keepLines/>
      </w:pPr>
      <w:r>
        <w:rPr>
          <w:rFonts w:ascii="Arial" w:hAnsi="Arial" w:eastAsia="Arial" w:cs="Arial"/>
          <w:sz w:val="24"/>
          <w:szCs w:val="24"/>
          <w:b w:val="1"/>
          <w:color w:val="000000"/>
        </w:rPr>
        <w:t>0.2 Upstream inherited-control references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1440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Control ID</w:t>
            </w:r>
          </w:p>
        </w:tc>
        <w:tc>
          <w:tcPr>
            <w:tcW w:type="dxa" w:w="518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Current source</w:t>
            </w:r>
          </w:p>
        </w:tc>
        <w:tc>
          <w:tcPr>
            <w:tcW w:type="dxa" w:w="633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Permitted use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P1-SD01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Part 1 - Concept Compression Map - Issue 1.docx | sha16 a256c5229849f993</w:t>
            </w:r>
          </w:p>
        </w:tc>
        <w:tc>
          <w:tcPr>
            <w:tcW w:type="dxa" w:w="63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Upstream architecture compression for NTC, BD, IPL, DTS, life-threshold and localisation discipline.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P1-SD02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Part 1 - Glossary - Issue 1.docx | sha16 e97712ced4e2b095</w:t>
            </w:r>
          </w:p>
        </w:tc>
        <w:tc>
          <w:tcPr>
            <w:tcW w:type="dxa" w:w="63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Upstream controlled vocabulary for inherited Part 1 terms.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P1-SD03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Part 1 - Guardrail and Failure-Mode Register - Issue 1.docx | sha16 794360cc1ff16519</w:t>
            </w:r>
          </w:p>
        </w:tc>
        <w:tc>
          <w:tcPr>
            <w:tcW w:type="dxa" w:w="63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Upstream comparator, localisation, source-lock, and anti-inflation guardrails.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P1-SD04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Part 1 - Bibliography and Relation Register - Issue 1.docx | sha16 7b0b194c1552979b</w:t>
            </w:r>
          </w:p>
        </w:tc>
        <w:tc>
          <w:tcPr>
            <w:tcW w:type="dxa" w:w="63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Upstream bibliographic relation-control reference only; no citation transfer into Part 3.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P2-SD01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Part 2 - Concept Compression Map - Issue 1.docx | sha16 eee99287e2cfaa10</w:t>
            </w:r>
          </w:p>
        </w:tc>
        <w:tc>
          <w:tcPr>
            <w:tcW w:type="dxa" w:w="63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Upstream control for RRP, signal, OP/OA/OR/RAS/RSD, knowledge, intelligence, observation, abstraction, scale, and observation-program architecture.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P2-SD02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Part 2 - Glossary - Issue 1.docx | sha16 b144e7dc2eac7133</w:t>
            </w:r>
          </w:p>
        </w:tc>
        <w:tc>
          <w:tcPr>
            <w:tcW w:type="dxa" w:w="63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Upstream controlled vocabulary for inherited informational and observational terms.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P2-SD03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Part 2 - Guardrail and Failure-Mode Register - Issue 1.docx | sha16 f955341321f11d30</w:t>
            </w:r>
          </w:p>
        </w:tc>
        <w:tc>
          <w:tcPr>
            <w:tcW w:type="dxa" w:w="63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Upstream failure-control for local locus, information/signal, observation, abstraction, scale, and descriptor discipline.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P2-SD04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Part 2 - Bibliography and Relation Register - Issue 1.docx | sha16 12dc458d0e940e8c</w:t>
            </w:r>
          </w:p>
        </w:tc>
        <w:tc>
          <w:tcPr>
            <w:tcW w:type="dxa" w:w="63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Upstream bibliographic relation-control reference only; no citation transfer into Part 3.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Protocol</w:t>
            </w:r>
          </w:p>
        </w:tc>
        <w:tc>
          <w:tcPr>
            <w:tcW w:type="dxa" w:w="51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Historical reference: GOT - Bibliographic Identification Classification and Adjacency Discovery Protocol - Issue 1(1).docx | sha16 03dec29bfa52830c</w:t>
            </w:r>
          </w:p>
        </w:tc>
        <w:tc>
          <w:tcPr>
            <w:tcW w:type="dxa" w:w="633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Retained classification context from the prior support release. This protocol file is not in the current supplied control set; its recorded hash is historical and is not represented as a newly verified source. Existing classifications are retained, with no new promotion of inheritance.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24"/>
          <w:szCs w:val="24"/>
          <w:b w:val="1"/>
          <w:color w:val="000000"/>
        </w:rPr>
        <w:pStyle w:val="Heading2"/>
        <w:keepNext/>
        <w:keepLines/>
      </w:pPr>
      <w:r>
        <w:rPr>
          <w:rFonts w:ascii="Arial" w:hAnsi="Arial" w:eastAsia="Arial" w:cs="Arial"/>
          <w:sz w:val="24"/>
          <w:szCs w:val="24"/>
          <w:b w:val="1"/>
          <w:color w:val="000000"/>
        </w:rPr>
        <w:t>0.3 Part-level support-control chain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1440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Control ID</w:t>
            </w:r>
          </w:p>
        </w:tc>
        <w:tc>
          <w:tcPr>
            <w:tcW w:type="dxa" w:w="6048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Current control file</w:t>
            </w:r>
          </w:p>
        </w:tc>
        <w:tc>
          <w:tcPr>
            <w:tcW w:type="dxa" w:w="5760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Permitted use</w:t>
            </w:r>
          </w:p>
        </w:tc>
      </w:tr>
      <w:tr>
        <w:trPr>
          <w:cantSplit/>
        </w:trPr>
        <w:tc>
          <w:tcPr>
            <w:tcW w:type="dxa" w:w="14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P3-SD01</w:t>
            </w:r>
          </w:p>
        </w:tc>
        <w:tc>
          <w:tcPr>
            <w:tcW w:type="dxa" w:w="604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Concept Compression Map - Issue 1.docx | sha16 874e44c76caf3061</w:t>
            </w:r>
          </w:p>
        </w:tc>
        <w:tc>
          <w:tcPr>
            <w:tcW w:type="dxa" w:w="576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Architecture compression and source-discipline control. Secondary to canonical papers.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Excluded source class: superseded Part 3 paper revisions as current identities; contextual essay-series material; downstream extension proposals; prior generated answers; unverified or unadmitted external material; and any later Part 3 concept not present in the current eight-paper canonical sequence. Bibliographic recurrence does not create technical inheritance.</w:t>
      </w:r>
    </w:p>
    <w:p>
      <w:pPr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SD-01, sections 9–10, preserves the identity migration and the deferred Toolkit update control. The eight-paper lock remains active; the future Toolkit does not yet supply a Part 3 definition, guardrail, or bibliography entry.</w:t>
      </w:r>
    </w:p>
    <w:p>
      <w:pPr>
        <w:rPr>
          <w:rFonts w:ascii="Arial" w:hAnsi="Arial" w:eastAsia="Arial" w:cs="Arial"/>
          <w:sz w:val="30"/>
          <w:szCs w:val="30"/>
          <w:b w:val="1"/>
          <w:color w:val="000000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000000"/>
        </w:rPr>
        <w:t>1. Canonical ownership map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1008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  <w:t>Section</w:t>
            </w:r>
          </w:p>
        </w:tc>
        <w:tc>
          <w:tcPr>
            <w:tcW w:type="dxa" w:w="1008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Owner</w:t>
            </w:r>
          </w:p>
        </w:tc>
        <w:tc>
          <w:tcPr>
            <w:tcW w:type="dxa" w:w="5040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Controlled region</w:t>
            </w:r>
          </w:p>
        </w:tc>
        <w:tc>
          <w:tcPr>
            <w:tcW w:type="dxa" w:w="6768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Guardrail</w:t>
            </w:r>
          </w:p>
        </w:tc>
      </w:tr>
      <w:tr>
        <w:trPr>
          <w:cantSplit/>
        </w:trPr>
        <w:tc>
          <w:tcPr>
            <w:tcW w:type="dxa" w:w="10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3a</w:t>
            </w:r>
          </w:p>
        </w:tc>
        <w:tc>
          <w:tcPr>
            <w:tcW w:type="dxa" w:w="10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3a-1</w:t>
            </w:r>
          </w:p>
        </w:tc>
        <w:tc>
          <w:tcPr>
            <w:tcW w:type="dxa" w:w="50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Relational availability, horizon grammar, Soft Horizon, Gödel Horizon, procedural availability, stabilisation.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turn every limit into Gödel diagnosis or every provisional closure into warrant.</w:t>
            </w:r>
          </w:p>
        </w:tc>
      </w:tr>
      <w:tr>
        <w:trPr>
          <w:cantSplit/>
        </w:trPr>
        <w:tc>
          <w:tcPr>
            <w:tcW w:type="dxa" w:w="10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3a</w:t>
            </w:r>
          </w:p>
        </w:tc>
        <w:tc>
          <w:tcPr>
            <w:tcW w:type="dxa" w:w="10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</w:t>
            </w:r>
          </w:p>
        </w:tc>
        <w:tc>
          <w:tcPr>
            <w:tcW w:type="dxa" w:w="50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Unknown-status, residual, positive exclusion, live formulations, weighting, BAF, action under residual, update.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flatten unknowns into one blank or convert action threshold into truth threshold.</w:t>
            </w:r>
          </w:p>
        </w:tc>
      </w:tr>
      <w:tr>
        <w:trPr>
          <w:cantSplit/>
        </w:trPr>
        <w:tc>
          <w:tcPr>
            <w:tcW w:type="dxa" w:w="10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3b</w:t>
            </w:r>
          </w:p>
        </w:tc>
        <w:tc>
          <w:tcPr>
            <w:tcW w:type="dxa" w:w="10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3b-3</w:t>
            </w:r>
          </w:p>
        </w:tc>
        <w:tc>
          <w:tcPr>
            <w:tcW w:type="dxa" w:w="50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Primitive Power, CIF, potential/application/consequence, CE, cumulative branch effect.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infer Power from force, authority, success, imagined alternatives, or causation alone.</w:t>
            </w:r>
          </w:p>
        </w:tc>
      </w:tr>
      <w:tr>
        <w:trPr>
          <w:cantSplit/>
        </w:trPr>
        <w:tc>
          <w:tcPr>
            <w:tcW w:type="dxa" w:w="10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3b</w:t>
            </w:r>
          </w:p>
        </w:tc>
        <w:tc>
          <w:tcPr>
            <w:tcW w:type="dxa" w:w="10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3b-4</w:t>
            </w:r>
          </w:p>
        </w:tc>
        <w:tc>
          <w:tcPr>
            <w:tcW w:type="dxa" w:w="50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Primitive Responsibility, Provenance, Gradient, Immediate Frame, Warrant, distributed/temporal attribution.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collapse provenance into role, blame, legal liability, proximity, or exterior hindsight.</w:t>
            </w:r>
          </w:p>
        </w:tc>
      </w:tr>
      <w:tr>
        <w:trPr>
          <w:cantSplit/>
        </w:trPr>
        <w:tc>
          <w:tcPr>
            <w:tcW w:type="dxa" w:w="10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3b</w:t>
            </w:r>
          </w:p>
        </w:tc>
        <w:tc>
          <w:tcPr>
            <w:tcW w:type="dxa" w:w="10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3b-5</w:t>
            </w:r>
          </w:p>
        </w:tc>
        <w:tc>
          <w:tcPr>
            <w:tcW w:type="dxa" w:w="50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Primitive Trust, primitive audit, reliance closure, carrier, threshold, vicarious trust, Epistemic Authority, minimum Structural Authority, laundering, betrayal/repair.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Trust makes standing operative without creating it. Epistemic standing and structural permission remain distinct; Structural Authority development stays in Volume 2.</w:t>
            </w:r>
          </w:p>
        </w:tc>
      </w:tr>
      <w:tr>
        <w:trPr>
          <w:cantSplit/>
        </w:trPr>
        <w:tc>
          <w:tcPr>
            <w:tcW w:type="dxa" w:w="10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3c</w:t>
            </w:r>
          </w:p>
        </w:tc>
        <w:tc>
          <w:tcPr>
            <w:tcW w:type="dxa" w:w="10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3c-6</w:t>
            </w:r>
          </w:p>
        </w:tc>
        <w:tc>
          <w:tcPr>
            <w:tcW w:type="dxa" w:w="50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Load-bearing language, epistemic debt, formalisation, auditable claim packet, proportionality, retrospective review.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treat forms, machine execution, documentation, or auditability as relation-preservation by default.</w:t>
            </w:r>
          </w:p>
        </w:tc>
      </w:tr>
      <w:tr>
        <w:trPr>
          <w:cantSplit/>
        </w:trPr>
        <w:tc>
          <w:tcPr>
            <w:tcW w:type="dxa" w:w="10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3c</w:t>
            </w:r>
          </w:p>
        </w:tc>
        <w:tc>
          <w:tcPr>
            <w:tcW w:type="dxa" w:w="10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3c-7</w:t>
            </w:r>
          </w:p>
        </w:tc>
        <w:tc>
          <w:tcPr>
            <w:tcW w:type="dxa" w:w="50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Governance levels; inherited Epistemic Authority; custodial and operational applications of Structural Authority; amendment, forks, release/certification/capture controls.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 steward, institution, vote, certificate, release, or implementation creates epistemic strength.</w:t>
            </w:r>
          </w:p>
        </w:tc>
      </w:tr>
      <w:tr>
        <w:trPr>
          <w:cantSplit/>
        </w:trPr>
        <w:tc>
          <w:tcPr>
            <w:tcW w:type="dxa" w:w="10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3c</w:t>
            </w:r>
          </w:p>
        </w:tc>
        <w:tc>
          <w:tcPr>
            <w:tcW w:type="dxa" w:w="100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3c-8</w:t>
            </w:r>
          </w:p>
        </w:tc>
        <w:tc>
          <w:tcPr>
            <w:tcW w:type="dxa" w:w="50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Relational audit, claim/reliance strength, indexed relation, path recovery, non-auditability, integrated outputs.</w:t>
            </w:r>
          </w:p>
        </w:tc>
        <w:tc>
          <w:tcPr>
            <w:tcW w:type="dxa" w:w="676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integrated method does not erase local discriminators; method-compliance is not closure.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000000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000000"/>
        </w:rPr>
        <w:t>Section 3a - Horizon and Unknown Discipline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1584"/>
        <w:gridCol w:w="3312"/>
        <w:gridCol w:w="1728"/>
        <w:gridCol w:w="3456"/>
      </w:tblGrid>
      <w:tr>
        <w:trPr>
          <w:tblHeader/>
        </w:trPr>
        <w:tc>
          <w:tcPr>
            <w:tcW w:type="dxa" w:w="158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Term</w:t>
            </w:r>
          </w:p>
        </w:tc>
        <w:tc>
          <w:tcPr>
            <w:tcW w:type="dxa" w:w="3312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Controlled definition</w:t>
            </w:r>
          </w:p>
        </w:tc>
        <w:tc>
          <w:tcPr>
            <w:tcW w:type="dxa" w:w="1728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Canonical home / type</w:t>
            </w:r>
          </w:p>
        </w:tc>
        <w:tc>
          <w:tcPr>
            <w:tcW w:type="dxa" w:w="345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Relationship and guardrail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Relational availability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Status of a target relation for a specified locus under stated access conditions before closure is presumed.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3a-1 | Foundational relation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Availability is not existence, registration, knowledge, warrant, or closure.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Availability condition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Specified condition under which a relation can become available to the locus.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3a-1 | Access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Keep boundary, interface, scale, horizon, discrimination, abstraction, and path conditions visible.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Closure demand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kind and strength of resolution the claim requires: proof, explanation, classification, action, measurement, etc.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3a-1 | Claim status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 horizon diagnosis without the closure demand being stated.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Horizon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Locus-relative boundary in relational availability and closure.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3a-1 | Boundary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Not an object, place, ontological zone, or generic mystery.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Soft Horizon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Provisional, purpose-indexed closure under residual.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3a-1 | Finite continuation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Legitimate only while scope, residual, tolerance/comparator, and update remain attached.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Gödel Horizon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Boundary where relation is available or formulable under a closure demand while the present abstraction regime discloses that it cannot supply closure from its own current resources.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3a-1 | Boundary disclosure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generalise incompleteness into a claim that everything is undecidable.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Procedural Availability Horizon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Condition where an abstraction can state what would count, but the realised process/evidence/instrument/path needed to bring the relation into comparison or closure is unavailable.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3a-1 | Availability-side horizon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Describability is not realised availability.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Misclosure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Closure assigned under a pattern or claim path that does not preserve the target relation strongly enough for the demand being made.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3a-1/3a-2 | Failure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Correction must recover what was available, omitted, or overclaimed.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Latent abstraction boundary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Limit generated by the abstraction regime that may remain invisible until residual, anomaly, comparison, or failure exposes it.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3a-1 | Abstraction boundary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treat a stable category as evidence that its cut is complete.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Counterfactual Comparison Discipline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Requirement that closure strength be tested against relevant alternative formulations or comparator cases.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3a-1 | Method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Epistemic comparator alternatives are not automatically causal CIF branches.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Stabilisation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Process by which one closure, model, pattern, or branch becomes operationally dominant.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3a-1/3a-2 | Dynamics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Stabilisation may be earned or may hide lost alternatives.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Excluded branch-space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Alternatives no longer live or visible after stabilisation.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3a-1 | Branch memory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Distinguish earned exclusion from forgetting, suppression, non-formulation, or path loss.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Unknown-status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Typed unresolved relation indexed to locus, availability condition, and closure demand.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 | Status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Unknown is not one undifferentiated absence.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Unavailable unknown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Relation outside the present access regime.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 | Unknown-status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Use access humility; do not infer non-existence.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Available-but-unrecognised unknown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Relation has entered access but has not been stabilised as identity/closure.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 | Unknown-status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Preserve availability without forcing nearest-pattern closure.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Misclosed unknown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Relation treated as closed under a pattern that later fails or is inadequately grounded.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 | Unknown-status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Retain correction path and branch-memory.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Residual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Localised remainder left by an unmet closure condition, including what stronger claim is blocked and what would force update.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 | Residual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Residual is not mysticism, generic uncertainty, or a decorative caveat.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Positive exclusion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Recorded reason a candidate formulation no longer remains live under the stated comparator and evidence conditions.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 | Branch discipline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confuse excluded alternatives with merely forgotten or unconsidered ones.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Live formulation field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Set of currently admissible formulations remaining live under the indexed conditions.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 | Alternative field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Not identical to the physically supported CIF of an IPL.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Live Field Contraction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Earned reduction of the live formulation field with reasons and branch-memory preserved.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 | Update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Contraction is not closure unless the closure demand is also satisfied.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Best Available Formulation (BAF)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Strongest currently supportable formulation for a stated purpose while residual remains explicit.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 | Soft Horizon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Best available does not mean true, final, or uniquely exhaustive.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Weighted Residual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Structured remainder retaining differential support, exclusions, uncertainty, and update obligations.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 | Residual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Weighting does not require false numerical precision.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Actionable residual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Residual under which action is required or justified before stronger closure is available.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 | Action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Action threshold is not truth threshold.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Action threshold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Condition at which action becomes warranted for the stated purpose despite residual.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 | Decision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Keep consequence-sensitive action separate from epistemic closure.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Safeguard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Constraint limiting harm or overreach when acting under incomplete closure.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 | Action control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Material where reversibility, exposure, or affected-locus risk requires it.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Monitoring condition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Specified observation required while an action or Soft Horizon remains in force.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 | Update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Monitoring must be capable of triggering revision.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Stop condition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Condition requiring suspension, withdrawal, escalation, or reversal.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 | Action control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treat continuation as evidence the original closure was correct.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Update trigger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Recoverable condition that requires the formulation, closure, threshold, or action to be revisited.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 | Corrigibility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 provisional closure without a route by which it can move.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Stabilisation Bias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Retrospective distortion by which the realised branch makes earlier alternatives or uncertainty appear weaker than they were.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 | Failure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Preserve what was live and knowable at the relevant time.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Branch-memory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Recoverable record of live, excluded, unavailable, and revised alternatives and the reasons for change.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 | Audit memory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Required to prevent hindsight reconstruction from erasing the live field.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000000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000000"/>
        </w:rPr>
        <w:t>Section 3b - Power, Responsibility, and Trust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1584"/>
        <w:gridCol w:w="3312"/>
        <w:gridCol w:w="1728"/>
        <w:gridCol w:w="3456"/>
      </w:tblGrid>
      <w:tr>
        <w:trPr>
          <w:tblHeader/>
        </w:trPr>
        <w:tc>
          <w:tcPr>
            <w:tcW w:type="dxa" w:w="158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Term</w:t>
            </w:r>
          </w:p>
        </w:tc>
        <w:tc>
          <w:tcPr>
            <w:tcW w:type="dxa" w:w="3312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Controlled definition</w:t>
            </w:r>
          </w:p>
        </w:tc>
        <w:tc>
          <w:tcPr>
            <w:tcW w:type="dxa" w:w="1728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Canonical home / type</w:t>
            </w:r>
          </w:p>
        </w:tc>
        <w:tc>
          <w:tcPr>
            <w:tcW w:type="dxa" w:w="345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Relationship and guardrail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Primitive Power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Indexed potential of an IPL to alter downstream branch-realisation through organisation-mediated discriminable distinctions under stated conditions.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3b-3 | Causal potential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Force, office, permission, success, or causation alone does not establish Power. The discriminator remains IPL-indexed distinction-conditioned branch potential (3b-3 §§11–12).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Power Relation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Relation among IPL, operative distinctions, CIF, comparator family, reference conditions, and branch consequence.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3b-3 | Audit relation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Specify the physically grounded path; do not infer from labels.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Counterfactual Inclusion Field (CIF)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Locus-indexed field of downstream branch relations physically included within an IPL’s distinction-conditioned potential under stated conditions.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3b-3 | Possibility field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Exterior imagination does not add branches to the CIF.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Power potential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Branch-changing capacity supported before present application.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3b-3 | Potential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Consequence demonstrates potential but does not create it retrospectively.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Power application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Use of an operative distinction through the power-bearing organisation.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3b-3 | Realisation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Application is distinct from possession of potential and from downstream evaluation.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Power consequence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Counterfactually recoverable downstream difference produced by application.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3b-3 | Consequence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Magnitude or success does not define the primitive.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Counterfactual Exclusion (CE)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Negative side of a realised distinction-conditioned branch event: a relevant included alternative is not equivalently realised.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3b-3 | Realisation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Not conscious rejection, metaphysical deletion, or generic elimination of possibilities.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Cumulative Power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Horizon-relative trajectory bias accumulated through repeated branch-changing events.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3b-3 | Dynamics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Individual applications need not deterministically fix the final outcome.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Primitive Responsibility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Locus-indexed attribution of consequential branch-relation dependence to distinction-conditioned organisation.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3b-4 | Attribution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Not first blame, guilt, duty, legal liability, intention, or role.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Responsibility Provenance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Recoverable path of responsibility-bearing distinction-conditioned transformations that materially condition a consequence.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3b-4 | Provenance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Subset of causal provenance; does not simply transfer between loci.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Distributed Responsibility Provenance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Responsibility-bearing path distributed across multiple local transformations and loci.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3b-4 | Provenance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collapse a graph into one responsible noun or conserved scalar.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Temporal Responsibility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Attribution across origin, retention, redeployment, maintenance, and update over time.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3b-4 | Temporal attribution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Earlier origin does not imply permanent ownership of later consequence.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Field-conditioning responsibility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Attributable material change to another locus’s CIF through maintained, withheld, exposed, narrowed, or otherwise governed power-bearing conditions.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3b-4 | Attribution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Responsibility need not wait for CE where the possibility field itself is consequentially conditioned.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Co-realisation incompatibility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Relation in which branches in different locus-indexed CIFs cannot be equivalently realised under shared physical conditions.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3b-4 | Potential relation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Not itself CE because no branch need yet be realised.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Responsibility-relevant capacity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Range/depth of discrimination, retention, abstraction, comparison, projection, correction, residual, control, and power-governance operations relevant to attribution.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3b-4 | Capacity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replace with generic complexity.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Responsibility Gradient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Ordinal relational increase in breadth/depth of responsibility-relevant capacity and recoverable causal contribution.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3b-4 | Gradient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Not a universal scalar moral score.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Immediate-Frame Principle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Responsibility is evaluated against relations materially available or recoverable to the locus under the relevant time and operating conditions.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3b-4 | Temporal/frame discipline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Blocks both exterior hindsight over-attribution and retrospective self-laundering.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Responsibility Warrant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Social, moral, legal, organisational, or institutional allocation of answerability, duty, burden, liability, or decision ownership.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3b-4 | Allocation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May be legitimate without being Responsibility Provenance.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Primitive Trust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Reliance closure under residual by which a finite locus reduces repeated audit enough to continue.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3b-5 | Reliance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Trust is not certainty, proof, belief, moral goodness, or automatic warrant.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Primitive audit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Relation-revalidation that reopens a backgrounded trust relation when mismatch, stakes, anomaly, or changed condition makes reduced audit insufficient.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3b-5 | Correction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Trust and audit are complementary, not opposites.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Reliance closure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Purpose-indexed closure sufficient for dependence, continuation, delegation, inference, or action.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3b-5 | Soft Horizon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Must carry residual and update.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Branch-space economy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Reduction in repeated checking work that lets a finite locus navigate dependencies.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3b-5 | Function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Efficiency does not create epistemic strength.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Trust threshold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Condition at which reliance is satisfactory enough for the relying locus’s closure demand.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3b-5 | Threshold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Need not be probabilistic or interpersonal.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Trust relation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Indexed relation among relying locus, target relation, carrier, closure demand, residual, threshold, safeguard where relevant, and update.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3b-5 | Architecture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Trust is always trust of some relation under conditions.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Trust carrier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Person, role, record, credential, procedure, institution, instrument, model, interface, certificate, standard, archive, platform, or machine output through which reliance-strength travels.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3b-5 | Carrier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Carrier is not trust ground by default.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Vicarious trust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Reliance in which another locus or carrier’s closure process satisfies part of the relying locus’s closure demand.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3b-5 | Outsourced closure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Borrowed closure carries residual and does not transfer responsibility provenance.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Borrowed closure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Closure-work performed elsewhere and relied upon locally.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3b-5 | Reliance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relying locus must retain scope and reopening conditions.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Epistemic Authority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Defeasible standing of a claim, distinction, or closure-process to guide judgement or reliance, earned through demonstrated preservation of a specified target relation under stated availability conditions and closure demand.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3b-5 §8 | Epistemic standing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Preferential reliance between loci requires demonstrated advantage for a shared target relation and comparable closure demand, preserved through the carrier path. Relative advantage may remain insufficient for use. Trust, confidence, permission, or consequence does not create the standing.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Structural Authority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Permission or mandate to act or decide within a specified scope, conferred or recognised by an organised information-processing structure.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3b-5 §8 | Minimum authority distinction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Structural Authority does not establish Epistemic Authority, and Epistemic Authority does not itself confer Structural Authority. Further development belongs to Volume 2; 3c-7 §6 applies the distinction to custody and domain use.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Trust laundering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Transfer of reliance-strength from a trusted carrier or context to a relation that did not earn equivalent closure.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3b-5 | Failure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 mark, role, institution, or certificate cannot spend trust beyond its grounding.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Distrust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Active withholding or reduction of reliance because the relevant closure demand is not satisfied.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3b-5 | Reliance status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Not identical to absence of trust.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Mistrust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Reliance relation distorted by an inaccurate or misclosed model of the target/carrier.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3b-5 | Failure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Can be over-trust or under-trust depending on the relation.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Betrayal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Agency/norm-sensitive trust failure where relied-upon relation is violated under conditions carrying vulnerability or obligation.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3b-5 | Mature trust failure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Stronger than primitive trust failure.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Trust repair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Restoration, narrowing, or refusal of reduced audit through correction of the failed relation and its safeguards/update conditions.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3b-5 | Repair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Reassurance alone is not repair.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000000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000000"/>
        </w:rPr>
        <w:t>Section 3c - Formalisation, Governance, and the Integrated Method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1584"/>
        <w:gridCol w:w="3312"/>
        <w:gridCol w:w="1728"/>
        <w:gridCol w:w="3456"/>
      </w:tblGrid>
      <w:tr>
        <w:trPr>
          <w:tblHeader/>
        </w:trPr>
        <w:tc>
          <w:tcPr>
            <w:tcW w:type="dxa" w:w="158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Term</w:t>
            </w:r>
          </w:p>
        </w:tc>
        <w:tc>
          <w:tcPr>
            <w:tcW w:type="dxa" w:w="3312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Controlled definition</w:t>
            </w:r>
          </w:p>
        </w:tc>
        <w:tc>
          <w:tcPr>
            <w:tcW w:type="dxa" w:w="1728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Canonical home / type</w:t>
            </w:r>
          </w:p>
        </w:tc>
        <w:tc>
          <w:tcPr>
            <w:tcW w:type="dxa" w:w="3456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Relationship and guardrail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Load-bearing language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Language or category doing consequential work inside a decision, classification, governance, enforcement, allocation, certification, or machine path.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3c-6 | Trigger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Ordinary language need not be universally formalised.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Semantic drift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Change in the relation carried by a term while the term remains apparently stable.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3c-6 | Failure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Drift becomes dangerous when authority remains attached to an outdated closure.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Load-bearing drift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Migration of a term/category across consequential contexts without its grounding conditions.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3c-6 | Failure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Authority must not outrun relation-preservation.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Epistemic debt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Deferred grounding cost created when load-bearing claims or linguistic closures circulate as if their grounding burden had already been paid.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3c-6 | Liability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Debt returns as opacity, misclassification, audit failure, or inability to update.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Recoverable authority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Authority whose operative relation and grounding conditions can be reconstructed and audited.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3c-6 | Control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Keep the evidence path supporting Epistemic Authority distinct from any Structural Authority governing its use (3c-6 §1).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Formalisation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Discipline of making load-bearing claim/reliance conditions recoverable at a level proportionate to consequence.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3c-6 | Method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Not freezing all language or replacing judgement with rules.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Auditable claim packet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Recoverable structure containing relation, locus, availability, closure demand, abstraction, evidence/record/carrier paths, comparator, residual, threshold, safeguard, and update as material.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3c-6 | Technical structure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Completion is not closure; packet fields are not proof.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Proportional formalisation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Formalisation burden scaled to consequence, exposure, contestability, reliance, reversibility, and audit need.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3c-6 | Proportionality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 not impose maximum formalisation on every ordinary claim.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Claim path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Recoverable path by which a claim acquires its present content and strength.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3c-6/3c-8 | Audit path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Keep distinct from reliance path.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Reliance path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Recoverable path by which one locus relies on a claim, carrier, closure process, or output.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3c-6/3c-8 | Audit path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Reliance-strength may differ from claim-strength.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Evidence path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Recoverable relation from evidence source through transformations to the claim.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3c-6/3c-8 | Audit path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Evidence presence does not settle adequacy or warrant.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Record path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Recoverable production, retention, transformation, and use of a record.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3c-6/3c-8 | Audit path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Record provenance is not warrant by default.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Carrier path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Recoverable movement of claim/reliance strength through persons, roles, records, procedures, institutions, models, or machines.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3c-6/3c-8 | Audit path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A demonstrated advantage at the contributing locus must survive the carrier path for preferential reliance to remain supported (3b-5 §8; 3c-8 §6).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Non-auditability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Condition where a load-bearing relation/path cannot be recovered strongly enough for the closure demand being made.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3c-6/3c-8 | Output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Non-auditability may require claim weakening, refusal, action limits, or update obligations.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Adaptive application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Domain-specific use of the method under local conditions without altering the technical or proposed constitutional burdens.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3c-7 | Governance level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Local adaptation is not amendment.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Current technical formalisation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Present auditable structures used to implement proposed constitutional burdens.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3c-7 | Governance level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Technical form may change if relation-preservation is demonstrated.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Proposed constitutional elements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Highest-level proposed burdens intended to govern how the method remains relation-preserving and corrigible.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3c-7 | Governance level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word constitutional does not make an element immune to demonstrated failure.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Custodial authority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Application of Structural Authority to stewardship of releases, archives, amendment histories, dissent, residual registers, provenance, and fork comparisons.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3c-7 §6 | Governance application; inherits 3b-5 §8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Stable custody preserves recoverability and correction; it does not establish epistemic standing or ownership of validity.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Operational authority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Application of Structural Authority within a particular institution or domain under its mandate and operating conditions.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3c-7 §6 | Governance application; inherits 3b-5 §8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Domain use and permission do not validate the method or a decision; the relevant relation-preserving burden remains.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Demonstrated relation-preservation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Burden showing that a proposed formulation preserves the relevant target relation more strongly under stated conditions and comparator pressure.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3c-7 | Amendment test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Revision must state failure class, reduced residual, introduced residual, and its own failure conditions.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Competitive fork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Explicit rival formalisation developed under retained comparison, provenance, residual, and update conditions.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3c-7 | Corrigibility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 fork is not valid merely because it exists or is popular.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Best Available Formalisation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Strongest current technical formalisation for the stated governance purpose while residual remains explicit.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3c-7 | Soft Horizon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Release status is provisional, not ownership.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Certification closure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Operational reliance closure attached to a certification result.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3c-7 | Governance carrier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Certificate must stay limited to what was actually assessed and remain reopenable.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Constitutional-label capture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Failure in which the label constitutional shields a method element from correction rather than increasing its burden of justification.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3c-7 | Capture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Higher level means higher correction burden, not immunity.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Epistemic Method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Integrated discipline of relational audit under finite conditions.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3c-8 | Integrated method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Not a theory of everything, universal decision procedure, or substitute for domain expertise.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Relational audit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Audit of whether a claim or reliance closure preserves the relation it purports to carry under indexed conditions.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3c-8 | Method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Audit strength follows recoverable relation, not form completion.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Indexed relation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Target relation stated with locus, availability, boundary, scale, horizon, abstraction, and closure demand sufficient to make the claim evaluable.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3c-8 | Audit input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 claim from nowhere.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Relational uncertainty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Uncertainty about whether a claim, closure, reliance relation, or Soft Horizon preserves the relation it purports to carry under indexed conditions.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3c-8 §3 | Explicit audit formulation; used in 3b-5 §§2, 6, 8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Not reducible to subjective doubt or probability deficit.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Claim-strength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Strength earned by a claim insofar as its relation-preserving path survives the relevant audit burden.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3c-8 | Output dimension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Officiality, precision, repetition, or action do not automatically strengthen it.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Reliance-strength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Strength with which a locus may rely on a claim, carrier, or closure process for its closure demand.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3c-8 | Output dimension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May be lower or differently conditioned than claim-strength.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Reliance limit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Boundary beyond which a trusted relation/carrier/closure process no longer satisfies the relying locus’s closure demand.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3c-8 | Reliance control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Must remain recoverable where reliance is load-bearing.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Conditional audit path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Relation-specific extension activated only when a claim engages a specialised architecture such as Power or Responsibility.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3c-8 | Method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Does not make CIF, CE, or Responsibility Provenance universal fields.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Method-compliance is not closure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Rule that completion, conformity, certification, or declared method-use cannot substitute for demonstrated relation-preservation.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3c-8 | Meta-guardrail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The method itself is a Soft Horizon and remains corrigible.</w:t>
            </w:r>
          </w:p>
        </w:tc>
      </w:tr>
      <w:tr>
        <w:trPr>
          <w:cantSplit/>
        </w:trPr>
        <w:tc>
          <w:tcPr>
            <w:tcW w:type="dxa" w:w="158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Action under residual</w:t>
            </w:r>
          </w:p>
        </w:tc>
        <w:tc>
          <w:tcPr>
            <w:tcW w:type="dxa" w:w="3312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Permitted action where threshold and safeguards justify continuation before stronger closure.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  <w:t>3a-2/3c-8 | Action output</w:t>
            </w:r>
          </w:p>
        </w:tc>
        <w:tc>
          <w:tcPr>
            <w:tcW w:type="dxa" w:w="3456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Action does not erase or retroactively settle residual.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000000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000000"/>
        </w:rPr>
        <w:t>2. Cross-Part inherited terms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7F7F7F"/>
          <w:left w:val="single" w:sz="4" w:color="7F7F7F"/>
          <w:bottom w:val="single" w:sz="4" w:color="7F7F7F"/>
          <w:right w:val="single" w:sz="4" w:color="7F7F7F"/>
          <w:insideH w:val="single" w:sz="4" w:color="7F7F7F"/>
          <w:insideV w:val="single" w:sz="4" w:color="7F7F7F"/>
        </w:tblBorders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024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Inherited term family</w:t>
            </w:r>
          </w:p>
        </w:tc>
        <w:tc>
          <w:tcPr>
            <w:tcW w:type="dxa" w:w="1728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Upstream home</w:t>
            </w:r>
          </w:p>
        </w:tc>
        <w:tc>
          <w:tcPr>
            <w:tcW w:type="dxa" w:w="8640"/>
            <w:vAlign w:val="top"/>
            <w:shd w:fill="D9E2F3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keepNext/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  <w:b/>
              </w:rPr>
            </w:r>
            <w:r>
              <w:rPr>
                <w:rFonts w:ascii="Arial" w:hAnsi="Arial" w:eastAsia="Arial" w:cs="Arial"/>
                <w:sz w:val="20"/>
                <w:szCs w:val="20"/>
                <w:b/>
              </w:rPr>
              <w:t>Part 3 use rule</w:t>
            </w:r>
          </w:p>
        </w:tc>
      </w:tr>
      <w:tr>
        <w:trPr>
          <w:cantSplit/>
        </w:trP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NTC, BD, IPL, DTS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Part 1</w:t>
            </w:r>
          </w:p>
        </w:tc>
        <w:tc>
          <w:tcPr>
            <w:tcW w:type="dxa" w:w="86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Use for causal/localisation/thermodynamic burdens only; do not import the Part 1 life-attribution ladder into Part 3.</w:t>
            </w:r>
          </w:p>
        </w:tc>
      </w:tr>
      <w:tr>
        <w:trPr>
          <w:cantSplit/>
        </w:trP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RRP, OP, OA, OR, RAS, RSD, signal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Part 2a</w:t>
            </w:r>
          </w:p>
        </w:tc>
        <w:tc>
          <w:tcPr>
            <w:tcW w:type="dxa" w:w="86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Use as inherited informational access architecture; Part 3 horizons and audit do not redefine these primitives.</w:t>
            </w:r>
          </w:p>
        </w:tc>
      </w:tr>
      <w:tr>
        <w:trPr>
          <w:cantSplit/>
        </w:trP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Knowledge, Intelligence, Observation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Part 2b</w:t>
            </w:r>
          </w:p>
        </w:tc>
        <w:tc>
          <w:tcPr>
            <w:tcW w:type="dxa" w:w="86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Use retained/applied/registered distinction statuses as inherited functions; do not use Part 3 Power/Responsibility/Trust to rewrite their thresholds.</w:t>
            </w:r>
          </w:p>
        </w:tc>
      </w:tr>
      <w:tr>
        <w:trPr>
          <w:cantSplit/>
        </w:trPr>
        <w:tc>
          <w:tcPr>
            <w:tcW w:type="dxa" w:w="3024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Abstraction, perspective, scale, observation envelope</w:t>
            </w:r>
          </w:p>
        </w:tc>
        <w:tc>
          <w:tcPr>
            <w:tcW w:type="dxa" w:w="1728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Part 2b</w:t>
            </w:r>
          </w:p>
        </w:tc>
        <w:tc>
          <w:tcPr>
            <w:tcW w:type="dxa" w:w="8640"/>
            <w:vAlign w:val="top"/>
            <w:tcBorders>
              <w:top w:val="single" w:sz="4" w:color="7F7F7F"/>
              <w:left w:val="single" w:sz="4" w:color="7F7F7F"/>
              <w:bottom w:val="single" w:sz="4" w:color="7F7F7F"/>
              <w:right w:val="single" w:sz="4" w:color="7F7F7F"/>
            </w:tcBorders>
          </w:tcPr>
          <w:p>
            <w:pPr>
              <w:rPr>
                <w:rFonts w:ascii="Arial" w:hAnsi="Arial" w:eastAsia="Arial" w:cs="Arial"/>
                <w:sz w:val="20"/>
                <w:szCs w:val="20"/>
              </w:rPr>
            </w:pPr>
            <w:r>
              <w:rPr>
                <w:rFonts w:ascii="Arial" w:hAnsi="Arial" w:eastAsia="Arial" w:cs="Arial"/>
                <w:sz w:val="20"/>
                <w:szCs w:val="20"/>
              </w:rPr>
            </w:r>
            <w:r>
              <w:rPr>
                <w:b w:val="0"/>
                <w:rFonts w:ascii="Arial" w:hAnsi="Arial" w:eastAsia="Arial" w:cs="Arial"/>
                <w:sz w:val="20"/>
                <w:szCs w:val="20"/>
              </w:rPr>
              <w:t>Use to index finite access and audit scope; Part 3 residual and horizon terms do not replace observation-program diagnostics.</w:t>
            </w:r>
          </w:p>
        </w:tc>
      </w:tr>
    </w:tbl>
    <w:p>
      <w:pPr>
        <w:rPr>
          <w:rFonts w:ascii="Arial" w:hAnsi="Arial" w:eastAsia="Arial" w:cs="Arial"/>
          <w:sz w:val="22"/>
          <w:szCs w:val="22"/>
        </w:rPr>
        <w:pStyle w:val="Normal"/>
        <w:spacing w:before="0" w:after="0" w:line="240" w:lineRule="auto"/>
        <w:keepNext/>
      </w:pPr>
    </w:p>
    <w:p>
      <w:pPr>
        <w:rPr>
          <w:rFonts w:ascii="Arial" w:hAnsi="Arial" w:eastAsia="Arial" w:cs="Arial"/>
          <w:sz w:val="30"/>
          <w:szCs w:val="30"/>
          <w:b w:val="1"/>
          <w:color w:val="000000"/>
        </w:rPr>
        <w:pStyle w:val="Heading1"/>
        <w:keepNext/>
        <w:keepLines/>
      </w:pPr>
      <w:r>
        <w:rPr>
          <w:rFonts w:ascii="Arial" w:hAnsi="Arial" w:eastAsia="Arial" w:cs="Arial"/>
          <w:sz w:val="30"/>
          <w:szCs w:val="30"/>
          <w:b w:val="1"/>
          <w:color w:val="000000"/>
        </w:rPr>
        <w:t>3. Release checklist</w:t>
      </w:r>
    </w:p>
    <w:p>
      <w:pPr>
        <w:rPr>
          <w:rFonts w:ascii="Arial" w:hAnsi="Arial" w:eastAsia="Arial" w:cs="Arial"/>
          <w:sz w:val="22"/>
          <w:szCs w:val="22"/>
        </w:rPr>
        <w:pStyle w:val="ListBullet"/>
      </w:pPr>
      <w:r>
        <w:rPr>
          <w:rFonts w:ascii="Arial" w:hAnsi="Arial" w:eastAsia="Arial" w:cs="Arial"/>
          <w:sz w:val="22"/>
          <w:szCs w:val="22"/>
        </w:rPr>
        <w:t>Every controlled Part 3 term has an owning canonical paper.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</w:pPr>
      <w:r>
        <w:rPr>
          <w:rFonts w:ascii="Arial" w:hAnsi="Arial" w:eastAsia="Arial" w:cs="Arial"/>
          <w:sz w:val="22"/>
          <w:szCs w:val="22"/>
        </w:rPr>
        <w:t>Section 3a terms are not retrospectively defined through Section 3b/3c vocabulary.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</w:pPr>
      <w:r>
        <w:rPr>
          <w:rFonts w:ascii="Arial" w:hAnsi="Arial" w:eastAsia="Arial" w:cs="Arial"/>
          <w:sz w:val="22"/>
          <w:szCs w:val="22"/>
        </w:rPr>
        <w:t>CIF and CE remain Power-specific unless a later claim explicitly engages that architecture.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</w:pPr>
      <w:r>
        <w:rPr>
          <w:rFonts w:ascii="Arial" w:hAnsi="Arial" w:eastAsia="Arial" w:cs="Arial"/>
          <w:sz w:val="22"/>
          <w:szCs w:val="22"/>
        </w:rPr>
        <w:t>Responsibility Provenance and Responsibility Warrant remain distinct.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</w:pPr>
      <w:r>
        <w:rPr>
          <w:rFonts w:ascii="Arial" w:hAnsi="Arial" w:eastAsia="Arial" w:cs="Arial"/>
          <w:sz w:val="22"/>
          <w:szCs w:val="22"/>
        </w:rPr>
        <w:t>Trust carrier remains distinct from trust ground and from Responsibility Provenance.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</w:pPr>
      <w:r>
        <w:rPr>
          <w:rFonts w:ascii="Arial" w:hAnsi="Arial" w:eastAsia="Arial" w:cs="Arial"/>
          <w:sz w:val="22"/>
          <w:szCs w:val="22"/>
        </w:rPr>
        <w:t>Formalisation structures remain technical carriers rather than epistemic certificates.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</w:pPr>
      <w:r>
        <w:rPr>
          <w:rFonts w:ascii="Arial" w:hAnsi="Arial" w:eastAsia="Arial" w:cs="Arial"/>
          <w:sz w:val="22"/>
          <w:szCs w:val="22"/>
        </w:rPr>
        <w:t>Epistemic Authority and Structural Authority retain their canonical home in 3b-5 §8. Custodial and operational authority remain downstream governance applications in 3c-7 §6.</w:t>
      </w:r>
    </w:p>
    <w:p>
      <w:pPr>
        <w:rPr>
          <w:rFonts w:ascii="Arial" w:hAnsi="Arial" w:eastAsia="Arial" w:cs="Arial"/>
          <w:sz w:val="22"/>
          <w:szCs w:val="22"/>
        </w:rPr>
        <w:pStyle w:val="ListBullet"/>
      </w:pPr>
      <w:r>
        <w:rPr>
          <w:rFonts w:ascii="Arial" w:hAnsi="Arial" w:eastAsia="Arial" w:cs="Arial"/>
          <w:sz w:val="22"/>
          <w:szCs w:val="22"/>
        </w:rPr>
        <w:t>The Epistemic Method integrates but does not erase local discriminators.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sz w:val="18"/>
        <w:szCs w:val="18"/>
      </w:rPr>
      <w:t>Secondary to canonical papers. Primary papers govern technical use.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 w:eastAsia="Arial" w:cs="Arial"/>
        <w:sz w:val="18"/>
        <w:szCs w:val="18"/>
      </w:rPr>
      <w:t>Part 3 (3a-3c): The Epistemic Method | TEM-P3-3A3B3C-SD02-GLOSSARY | Issue 1 | Source-locked</w:t>
      <w:br/>
      <w:t>Secondary to canonical papers. Primary papers govern technical use.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 w:cs="Arial"/>
      <w:sz w:val="22"/>
      <w:szCs w:val="22"/>
    </w:rPr>
  </w:style>
  <w:style w:type="paragraph" w:styleId="Header">
    <w:rPr>
      <w:rFonts w:ascii="Arial" w:hAnsi="Arial" w:eastAsia="Arial" w:cs="Arial"/>
      <w:sz w:val="18"/>
      <w:szCs w:val="18"/>
    </w:rPr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rPr>
      <w:rFonts w:ascii="Arial" w:hAnsi="Arial" w:eastAsia="Arial" w:cs="Arial"/>
      <w:sz w:val="22"/>
      <w:szCs w:val="22"/>
    </w:rPr>
    <w:name w:val="Header Char"/>
    <w:basedOn w:val="DefaultParagraphFont"/>
    <w:link w:val="Header"/>
    <w:uiPriority w:val="99"/>
    <w:rsid w:val="00E618BF"/>
  </w:style>
  <w:style w:type="paragraph" w:styleId="Footer">
    <w:rPr>
      <w:rFonts w:ascii="Arial" w:hAnsi="Arial" w:eastAsia="Arial" w:cs="Arial"/>
      <w:sz w:val="18"/>
      <w:szCs w:val="18"/>
    </w:rPr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rPr>
      <w:rFonts w:ascii="Arial" w:hAnsi="Arial" w:eastAsia="Arial" w:cs="Arial"/>
      <w:sz w:val="22"/>
      <w:szCs w:val="22"/>
    </w:rPr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000000"/>
      <w:rFonts w:ascii="Arial" w:hAnsi="Arial" w:eastAsia="Arial" w:cs="Arial"/>
      <w:sz w:val="30"/>
      <w:szCs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000000"/>
      <w:rFonts w:ascii="Arial" w:hAnsi="Arial" w:eastAsia="Arial" w:cs="Arial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b/>
      <w:bCs/>
      <w:color w:val="000000"/>
      <w:rFonts w:ascii="Arial" w:hAnsi="Arial" w:eastAsia="Arial" w:cs="Arial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color w:val="243F60" w:themeColor="accent1" w:themeShade="7F"/>
      <w:rFonts w:ascii="Arial" w:hAnsi="Arial" w:eastAsia="Arial" w:cs="Arial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i/>
      <w:iCs/>
      <w:color w:val="243F60" w:themeColor="accent1" w:themeShade="7F"/>
      <w:rFonts w:ascii="Arial" w:hAnsi="Arial" w:eastAsia="Arial" w:cs="Arial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i/>
      <w:iCs/>
      <w:color w:val="404040" w:themeColor="text1" w:themeTint="BF"/>
      <w:rFonts w:ascii="Arial" w:hAnsi="Arial" w:eastAsia="Arial" w:cs="Arial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color w:val="4F81BD" w:themeColor="accent1"/>
      <w:rFonts w:ascii="Arial" w:hAnsi="Arial" w:eastAsia="Arial" w:cs="Arial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i/>
      <w:iCs/>
      <w:color w:val="404040" w:themeColor="text1" w:themeTint="BF"/>
      <w:rFonts w:ascii="Arial" w:hAnsi="Arial" w:eastAsia="Arial" w:cs="Arial"/>
      <w:sz w:val="22"/>
      <w:szCs w:val="22"/>
    </w:rPr>
  </w:style>
  <w:style w:type="character" w:default="1" w:styleId="DefaultParagraphFont">
    <w:rPr>
      <w:rFonts w:ascii="Arial" w:hAnsi="Arial" w:eastAsia="Arial" w:cs="Arial"/>
      <w:sz w:val="22"/>
      <w:szCs w:val="22"/>
    </w:rPr>
    <w:name w:val="Default Paragraph Font"/>
    <w:uiPriority w:val="1"/>
    <w:semiHidden/>
    <w:unhideWhenUsed/>
  </w:style>
  <w:style w:type="table" w:default="1" w:styleId="TableNormal">
    <w:rPr>
      <w:rFonts w:ascii="Arial" w:hAnsi="Arial" w:eastAsia="Arial" w:cs="Arial"/>
      <w:sz w:val="22"/>
      <w:szCs w:val="22"/>
    </w:rPr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rPr>
      <w:rFonts w:ascii="Arial" w:hAnsi="Arial" w:eastAsia="Arial" w:cs="Arial"/>
      <w:sz w:val="22"/>
      <w:szCs w:val="22"/>
    </w:rPr>
    <w:name w:val="No List"/>
    <w:uiPriority w:val="99"/>
    <w:semiHidden/>
    <w:unhideWhenUsed/>
  </w:style>
  <w:style w:type="paragraph" w:styleId="NoSpacing">
    <w:rPr>
      <w:rFonts w:ascii="Arial" w:hAnsi="Arial" w:eastAsia="Arial" w:cs="Arial"/>
      <w:sz w:val="22"/>
      <w:szCs w:val="22"/>
    </w:rPr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b/>
      <w:bCs/>
      <w:color w:val="365F91" w:themeColor="accent1" w:themeShade="BF"/>
      <w:rFonts w:ascii="Arial" w:hAnsi="Arial" w:eastAsia="Arial" w:cs="Arial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b/>
      <w:bCs/>
      <w:color w:val="4F81BD" w:themeColor="accent1"/>
      <w:rFonts w:ascii="Arial" w:hAnsi="Arial" w:eastAsia="Arial" w:cs="Arial"/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b/>
      <w:bCs/>
      <w:color w:val="4F81BD" w:themeColor="accent1"/>
      <w:rFonts w:ascii="Arial" w:hAnsi="Arial" w:eastAsia="Arial" w:cs="Arial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b/>
      <w:color w:val="000000"/>
      <w:spacing w:val="5"/>
      <w:kern w:val="28"/>
      <w:rFonts w:ascii="Arial" w:hAnsi="Arial" w:eastAsia="Arial" w:cs="Arial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color w:val="17365D" w:themeColor="text2" w:themeShade="BF"/>
      <w:spacing w:val="5"/>
      <w:kern w:val="28"/>
      <w:rFonts w:ascii="Arial" w:hAnsi="Arial" w:eastAsia="Arial" w:cs="Arial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i/>
      <w:iCs/>
      <w:color w:val="4F81BD" w:themeColor="accent1"/>
      <w:spacing w:val="15"/>
      <w:rFonts w:ascii="Arial" w:hAnsi="Arial" w:eastAsia="Arial" w:cs="Arial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i/>
      <w:iCs/>
      <w:color w:val="4F81BD" w:themeColor="accent1"/>
      <w:spacing w:val="15"/>
      <w:rFonts w:ascii="Arial" w:hAnsi="Arial" w:eastAsia="Arial" w:cs="Arial"/>
      <w:sz w:val="22"/>
      <w:szCs w:val="22"/>
    </w:rPr>
  </w:style>
  <w:style w:type="paragraph" w:styleId="ListParagraph">
    <w:rPr>
      <w:rFonts w:ascii="Arial" w:hAnsi="Arial" w:eastAsia="Arial" w:cs="Arial"/>
      <w:sz w:val="22"/>
      <w:szCs w:val="22"/>
    </w:rPr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 w:eastAsia="Arial" w:cs="Arial"/>
      <w:sz w:val="22"/>
      <w:szCs w:val="22"/>
    </w:rPr>
  </w:style>
  <w:style w:type="character" w:customStyle="1" w:styleId="BodyTextChar">
    <w:rPr>
      <w:rFonts w:ascii="Arial" w:hAnsi="Arial" w:eastAsia="Arial" w:cs="Arial"/>
      <w:sz w:val="22"/>
      <w:szCs w:val="22"/>
    </w:rPr>
    <w:name w:val="Body Text Char"/>
    <w:basedOn w:val="DefaultParagraphFont"/>
    <w:link w:val="BodyText"/>
    <w:uiPriority w:val="99"/>
    <w:rsid w:val="00AA1D8D"/>
  </w:style>
  <w:style w:type="paragraph" w:styleId="BodyText2">
    <w:rPr>
      <w:rFonts w:ascii="Arial" w:hAnsi="Arial" w:eastAsia="Arial" w:cs="Arial"/>
      <w:sz w:val="22"/>
      <w:szCs w:val="22"/>
    </w:rPr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rPr>
      <w:rFonts w:ascii="Arial" w:hAnsi="Arial" w:eastAsia="Arial" w:cs="Arial"/>
      <w:sz w:val="22"/>
      <w:szCs w:val="22"/>
    </w:rPr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 w:eastAsia="Arial" w:cs="Arial"/>
      <w:sz w:val="22"/>
      <w:szCs w:val="22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hAnsi="Arial" w:eastAsia="Arial" w:cs="Arial"/>
      <w:sz w:val="22"/>
      <w:szCs w:val="22"/>
    </w:rPr>
  </w:style>
  <w:style w:type="paragraph" w:styleId="List">
    <w:rPr>
      <w:rFonts w:ascii="Arial" w:hAnsi="Arial" w:eastAsia="Arial" w:cs="Arial"/>
      <w:sz w:val="22"/>
      <w:szCs w:val="22"/>
    </w:rPr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rPr>
      <w:rFonts w:ascii="Arial" w:hAnsi="Arial" w:eastAsia="Arial" w:cs="Arial"/>
      <w:sz w:val="22"/>
      <w:szCs w:val="22"/>
    </w:rPr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rPr>
      <w:rFonts w:ascii="Arial" w:hAnsi="Arial" w:eastAsia="Arial" w:cs="Arial"/>
      <w:sz w:val="22"/>
      <w:szCs w:val="22"/>
    </w:rPr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rPr>
      <w:rFonts w:ascii="Arial" w:hAnsi="Arial" w:eastAsia="Arial" w:cs="Arial"/>
      <w:sz w:val="22"/>
      <w:szCs w:val="22"/>
    </w:rPr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rPr>
      <w:rFonts w:ascii="Arial" w:hAnsi="Arial" w:eastAsia="Arial" w:cs="Arial"/>
      <w:sz w:val="22"/>
      <w:szCs w:val="22"/>
    </w:rPr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rPr>
      <w:rFonts w:ascii="Arial" w:hAnsi="Arial" w:eastAsia="Arial" w:cs="Arial"/>
      <w:sz w:val="22"/>
      <w:szCs w:val="22"/>
    </w:rPr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rPr>
      <w:rFonts w:ascii="Arial" w:hAnsi="Arial" w:eastAsia="Arial" w:cs="Arial"/>
      <w:sz w:val="22"/>
      <w:szCs w:val="22"/>
    </w:rPr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rPr>
      <w:rFonts w:ascii="Arial" w:hAnsi="Arial" w:eastAsia="Arial" w:cs="Arial"/>
      <w:sz w:val="22"/>
      <w:szCs w:val="22"/>
    </w:rPr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rPr>
      <w:rFonts w:ascii="Arial" w:hAnsi="Arial" w:eastAsia="Arial" w:cs="Arial"/>
      <w:sz w:val="22"/>
      <w:szCs w:val="22"/>
    </w:rPr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rPr>
      <w:rFonts w:ascii="Arial" w:hAnsi="Arial" w:eastAsia="Arial" w:cs="Arial"/>
      <w:sz w:val="22"/>
      <w:szCs w:val="22"/>
    </w:rPr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rPr>
      <w:rFonts w:ascii="Arial" w:hAnsi="Arial" w:eastAsia="Arial" w:cs="Arial"/>
      <w:sz w:val="22"/>
      <w:szCs w:val="22"/>
    </w:rPr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rPr>
      <w:rFonts w:ascii="Arial" w:hAnsi="Arial" w:eastAsia="Arial" w:cs="Arial"/>
      <w:sz w:val="22"/>
      <w:szCs w:val="22"/>
    </w:rPr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 w:eastAsia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hAnsi="Arial" w:eastAsia="Arial" w:cs="Arial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  <w:rFonts w:ascii="Arial" w:hAnsi="Arial" w:eastAsia="Arial" w:cs="Arial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  <w:rFonts w:ascii="Arial" w:hAnsi="Arial" w:eastAsia="Arial" w:cs="Arial"/>
      <w:sz w:val="22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color w:val="243F60" w:themeColor="accent1" w:themeShade="7F"/>
      <w:rFonts w:ascii="Arial" w:hAnsi="Arial" w:eastAsia="Arial" w:cs="Arial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i/>
      <w:iCs/>
      <w:color w:val="243F60" w:themeColor="accent1" w:themeShade="7F"/>
      <w:rFonts w:ascii="Arial" w:hAnsi="Arial" w:eastAsia="Arial" w:cs="Arial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i/>
      <w:iCs/>
      <w:color w:val="404040" w:themeColor="text1" w:themeTint="BF"/>
      <w:rFonts w:ascii="Arial" w:hAnsi="Arial" w:eastAsia="Arial" w:cs="Arial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color w:val="4F81BD" w:themeColor="accent1"/>
      <w:rFonts w:ascii="Arial" w:hAnsi="Arial" w:eastAsia="Arial" w:cs="Arial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i/>
      <w:iCs/>
      <w:color w:val="404040" w:themeColor="text1" w:themeTint="BF"/>
      <w:rFonts w:ascii="Arial" w:hAnsi="Arial" w:eastAsia="Arial" w:cs="Arial"/>
      <w:sz w:val="22"/>
      <w:szCs w:val="2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rFonts w:ascii="Arial" w:hAnsi="Arial" w:eastAsia="Arial" w:cs="Arial"/>
      <w:sz w:val="22"/>
      <w:szCs w:val="22"/>
    </w:rPr>
  </w:style>
  <w:style w:type="character" w:styleId="Strong">
    <w:name w:val="Strong"/>
    <w:basedOn w:val="DefaultParagraphFont"/>
    <w:uiPriority w:val="22"/>
    <w:qFormat/>
    <w:rsid w:val="00FC693F"/>
    <w:rPr>
      <w:b/>
      <w:bCs/>
      <w:rFonts w:ascii="Arial" w:hAnsi="Arial" w:eastAsia="Arial" w:cs="Arial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  <w:rFonts w:ascii="Arial" w:hAnsi="Arial" w:eastAsia="Arial" w:cs="Arial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  <w:rFonts w:ascii="Arial" w:hAnsi="Arial" w:eastAsia="Arial" w:cs="Arial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  <w:rFonts w:ascii="Arial" w:hAnsi="Arial" w:eastAsia="Arial" w:cs="Arial"/>
      <w:sz w:val="22"/>
      <w:szCs w:val="22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  <w:rFonts w:ascii="Arial" w:hAnsi="Arial" w:eastAsia="Arial" w:cs="Arial"/>
      <w:sz w:val="22"/>
      <w:szCs w:val="22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  <w:rFonts w:ascii="Arial" w:hAnsi="Arial" w:eastAsia="Arial" w:cs="Arial"/>
      <w:sz w:val="22"/>
      <w:szCs w:val="22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  <w:rFonts w:ascii="Arial" w:hAnsi="Arial" w:eastAsia="Arial" w:cs="Arial"/>
      <w:sz w:val="22"/>
      <w:szCs w:val="22"/>
    </w:rPr>
  </w:style>
  <w:style w:type="paragraph" w:styleId="TOCHeading">
    <w:rPr>
      <w:rFonts w:ascii="Arial" w:hAnsi="Arial" w:eastAsia="Arial" w:cs="Arial"/>
      <w:sz w:val="22"/>
      <w:szCs w:val="22"/>
    </w:rPr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rPr>
      <w:rFonts w:ascii="Arial" w:hAnsi="Arial" w:eastAsia="Arial" w:cs="Arial"/>
      <w:sz w:val="22"/>
      <w:szCs w:val="22"/>
    </w:rPr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rPr>
      <w:rFonts w:ascii="Arial" w:hAnsi="Arial" w:eastAsia="Arial" w:cs="Arial"/>
      <w:sz w:val="22"/>
      <w:szCs w:val="22"/>
    </w:rPr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rPr>
      <w:rFonts w:ascii="Arial" w:hAnsi="Arial" w:eastAsia="Arial" w:cs="Arial"/>
      <w:sz w:val="22"/>
      <w:szCs w:val="22"/>
    </w:rPr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rPr>
      <w:rFonts w:ascii="Arial" w:hAnsi="Arial" w:eastAsia="Arial" w:cs="Arial"/>
      <w:sz w:val="22"/>
      <w:szCs w:val="22"/>
    </w:rPr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rPr>
      <w:rFonts w:ascii="Arial" w:hAnsi="Arial" w:eastAsia="Arial" w:cs="Arial"/>
      <w:sz w:val="22"/>
      <w:szCs w:val="22"/>
    </w:rPr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rPr>
      <w:rFonts w:ascii="Arial" w:hAnsi="Arial" w:eastAsia="Arial" w:cs="Arial"/>
      <w:sz w:val="22"/>
      <w:szCs w:val="22"/>
    </w:rPr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rPr>
      <w:rFonts w:ascii="Arial" w:hAnsi="Arial" w:eastAsia="Arial" w:cs="Arial"/>
      <w:sz w:val="22"/>
      <w:szCs w:val="22"/>
    </w:rPr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rPr>
      <w:rFonts w:ascii="Arial" w:hAnsi="Arial" w:eastAsia="Arial" w:cs="Arial"/>
      <w:sz w:val="22"/>
      <w:szCs w:val="22"/>
    </w:rPr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rPr>
      <w:rFonts w:ascii="Arial" w:hAnsi="Arial" w:eastAsia="Arial" w:cs="Arial"/>
      <w:sz w:val="22"/>
      <w:szCs w:val="22"/>
    </w:rPr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rPr>
      <w:rFonts w:ascii="Arial" w:hAnsi="Arial" w:eastAsia="Arial" w:cs="Arial"/>
      <w:sz w:val="22"/>
      <w:szCs w:val="22"/>
    </w:rPr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rPr>
      <w:rFonts w:ascii="Arial" w:hAnsi="Arial" w:eastAsia="Arial" w:cs="Arial"/>
      <w:sz w:val="22"/>
      <w:szCs w:val="22"/>
    </w:rPr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rPr>
      <w:rFonts w:ascii="Arial" w:hAnsi="Arial" w:eastAsia="Arial" w:cs="Arial"/>
      <w:sz w:val="22"/>
      <w:szCs w:val="22"/>
    </w:rPr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rPr>
      <w:rFonts w:ascii="Arial" w:hAnsi="Arial" w:eastAsia="Arial" w:cs="Arial"/>
      <w:sz w:val="22"/>
      <w:szCs w:val="22"/>
    </w:rPr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rPr>
      <w:rFonts w:ascii="Arial" w:hAnsi="Arial" w:eastAsia="Arial" w:cs="Arial"/>
      <w:sz w:val="22"/>
      <w:szCs w:val="22"/>
    </w:rPr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rPr>
      <w:rFonts w:ascii="Arial" w:hAnsi="Arial" w:eastAsia="Arial" w:cs="Arial"/>
      <w:sz w:val="22"/>
      <w:szCs w:val="22"/>
    </w:rPr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rPr>
      <w:rFonts w:ascii="Arial" w:hAnsi="Arial" w:eastAsia="Arial" w:cs="Arial"/>
      <w:sz w:val="22"/>
      <w:szCs w:val="22"/>
    </w:rPr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rPr>
      <w:rFonts w:ascii="Arial" w:hAnsi="Arial" w:eastAsia="Arial" w:cs="Arial"/>
      <w:sz w:val="22"/>
      <w:szCs w:val="22"/>
    </w:rPr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rPr>
      <w:rFonts w:ascii="Arial" w:hAnsi="Arial" w:eastAsia="Arial" w:cs="Arial"/>
      <w:sz w:val="22"/>
      <w:szCs w:val="22"/>
    </w:rPr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rPr>
      <w:rFonts w:ascii="Arial" w:hAnsi="Arial" w:eastAsia="Arial" w:cs="Arial"/>
      <w:sz w:val="22"/>
      <w:szCs w:val="22"/>
    </w:rPr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rPr>
      <w:rFonts w:ascii="Arial" w:hAnsi="Arial" w:eastAsia="Arial" w:cs="Arial"/>
      <w:sz w:val="22"/>
      <w:szCs w:val="22"/>
    </w:rPr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rPr>
      <w:rFonts w:ascii="Arial" w:hAnsi="Arial" w:eastAsia="Arial" w:cs="Arial"/>
      <w:sz w:val="22"/>
      <w:szCs w:val="22"/>
    </w:rPr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rPr>
      <w:rFonts w:ascii="Arial" w:hAnsi="Arial" w:eastAsia="Arial" w:cs="Arial"/>
      <w:sz w:val="22"/>
      <w:szCs w:val="22"/>
    </w:rPr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rPr>
      <w:rFonts w:ascii="Arial" w:hAnsi="Arial" w:eastAsia="Arial" w:cs="Arial"/>
      <w:sz w:val="22"/>
      <w:szCs w:val="22"/>
    </w:rPr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rPr>
      <w:rFonts w:ascii="Arial" w:hAnsi="Arial" w:eastAsia="Arial" w:cs="Arial"/>
      <w:sz w:val="22"/>
      <w:szCs w:val="22"/>
    </w:rPr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rPr>
      <w:rFonts w:ascii="Arial" w:hAnsi="Arial" w:eastAsia="Arial" w:cs="Arial"/>
      <w:sz w:val="22"/>
      <w:szCs w:val="22"/>
    </w:rPr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rPr>
      <w:rFonts w:ascii="Arial" w:hAnsi="Arial" w:eastAsia="Arial" w:cs="Arial"/>
      <w:sz w:val="22"/>
      <w:szCs w:val="22"/>
    </w:rPr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rPr>
      <w:rFonts w:ascii="Arial" w:hAnsi="Arial" w:eastAsia="Arial" w:cs="Arial"/>
      <w:sz w:val="22"/>
      <w:szCs w:val="22"/>
    </w:rPr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rPr>
      <w:rFonts w:ascii="Arial" w:hAnsi="Arial" w:eastAsia="Arial" w:cs="Arial"/>
      <w:sz w:val="22"/>
      <w:szCs w:val="22"/>
    </w:rPr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rPr>
      <w:rFonts w:ascii="Arial" w:hAnsi="Arial" w:eastAsia="Arial" w:cs="Arial"/>
      <w:sz w:val="22"/>
      <w:szCs w:val="22"/>
    </w:rPr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rPr>
      <w:rFonts w:ascii="Arial" w:hAnsi="Arial" w:eastAsia="Arial" w:cs="Arial"/>
      <w:sz w:val="22"/>
      <w:szCs w:val="22"/>
    </w:rPr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rPr>
      <w:rFonts w:ascii="Arial" w:hAnsi="Arial" w:eastAsia="Arial" w:cs="Arial"/>
      <w:sz w:val="22"/>
      <w:szCs w:val="22"/>
    </w:rPr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rPr>
      <w:rFonts w:ascii="Arial" w:hAnsi="Arial" w:eastAsia="Arial" w:cs="Arial"/>
      <w:sz w:val="22"/>
      <w:szCs w:val="22"/>
    </w:rPr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rPr>
      <w:rFonts w:ascii="Arial" w:hAnsi="Arial" w:eastAsia="Arial" w:cs="Arial"/>
      <w:sz w:val="22"/>
      <w:szCs w:val="22"/>
    </w:rPr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rPr>
      <w:rFonts w:ascii="Arial" w:hAnsi="Arial" w:eastAsia="Arial" w:cs="Arial"/>
      <w:sz w:val="22"/>
      <w:szCs w:val="22"/>
    </w:rPr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rPr>
      <w:rFonts w:ascii="Arial" w:hAnsi="Arial" w:eastAsia="Arial" w:cs="Arial"/>
      <w:sz w:val="22"/>
      <w:szCs w:val="22"/>
    </w:rPr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rPr>
      <w:rFonts w:ascii="Arial" w:hAnsi="Arial" w:eastAsia="Arial" w:cs="Arial"/>
      <w:sz w:val="22"/>
      <w:szCs w:val="22"/>
    </w:rPr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rPr>
      <w:rFonts w:ascii="Arial" w:hAnsi="Arial" w:eastAsia="Arial" w:cs="Arial"/>
      <w:sz w:val="22"/>
      <w:szCs w:val="22"/>
    </w:rPr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rPr>
      <w:rFonts w:ascii="Arial" w:hAnsi="Arial" w:eastAsia="Arial" w:cs="Arial"/>
      <w:sz w:val="22"/>
      <w:szCs w:val="22"/>
    </w:rPr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rPr>
      <w:rFonts w:ascii="Arial" w:hAnsi="Arial" w:eastAsia="Arial" w:cs="Arial"/>
      <w:sz w:val="22"/>
      <w:szCs w:val="22"/>
    </w:rPr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rPr>
      <w:rFonts w:ascii="Arial" w:hAnsi="Arial" w:eastAsia="Arial" w:cs="Arial"/>
      <w:sz w:val="22"/>
      <w:szCs w:val="22"/>
    </w:rPr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rPr>
      <w:rFonts w:ascii="Arial" w:hAnsi="Arial" w:eastAsia="Arial" w:cs="Arial"/>
      <w:sz w:val="22"/>
      <w:szCs w:val="22"/>
    </w:rPr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rPr>
      <w:rFonts w:ascii="Arial" w:hAnsi="Arial" w:eastAsia="Arial" w:cs="Arial"/>
      <w:sz w:val="22"/>
      <w:szCs w:val="22"/>
    </w:rPr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rPr>
      <w:rFonts w:ascii="Arial" w:hAnsi="Arial" w:eastAsia="Arial" w:cs="Arial"/>
      <w:sz w:val="22"/>
      <w:szCs w:val="22"/>
    </w:rPr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  <w:rFonts w:ascii="Arial" w:hAnsi="Arial" w:eastAsia="Arial" w:cs="Arial"/>
      <w:sz w:val="22"/>
      <w:szCs w:val="22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2026-09-24T00:00:00Z</dcterms:modified>
  <cp:category/>
</cp:coreProperties>
</file>